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10"/>
        <w:gridCol w:w="2610"/>
        <w:gridCol w:w="2610"/>
        <w:gridCol w:w="2610"/>
      </w:tblGrid>
      <w:tr w:rsidR="0069679C">
        <w:tc>
          <w:tcPr>
            <w:tcW w:w="2610" w:type="dxa"/>
          </w:tcPr>
          <w:p w:rsidR="0069679C" w:rsidRDefault="00F83FA5">
            <w:pPr>
              <w:pStyle w:val="Formal1"/>
            </w:pPr>
            <w:bookmarkStart w:id="0" w:name="_GoBack"/>
            <w:bookmarkEnd w:id="0"/>
            <w:r>
              <w:rPr>
                <w:noProof/>
                <w:lang w:eastAsia="en-GB"/>
              </w:rPr>
              <w:drawing>
                <wp:inline distT="0" distB="0" distL="0" distR="0" wp14:anchorId="7BA3D78B" wp14:editId="5790E283">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rsidR="0069679C" w:rsidRDefault="00EB0AFB">
            <w:pPr>
              <w:pStyle w:val="Formal1"/>
              <w:spacing w:before="0" w:after="0"/>
              <w:rPr>
                <w:b/>
                <w:sz w:val="48"/>
              </w:rPr>
            </w:pPr>
            <w:bookmarkStart w:id="1" w:name="AgendaTitle"/>
            <w:bookmarkEnd w:id="1"/>
            <w:r>
              <w:rPr>
                <w:b/>
                <w:sz w:val="48"/>
              </w:rPr>
              <w:t>PPG</w:t>
            </w:r>
            <w:r w:rsidR="0069679C">
              <w:rPr>
                <w:b/>
                <w:sz w:val="48"/>
              </w:rPr>
              <w:t xml:space="preserve"> Meeting</w:t>
            </w:r>
          </w:p>
          <w:p w:rsidR="00EB0AFB" w:rsidRDefault="00E52791">
            <w:pPr>
              <w:pStyle w:val="Formal1"/>
              <w:spacing w:before="0" w:after="0"/>
              <w:rPr>
                <w:b/>
                <w:sz w:val="48"/>
              </w:rPr>
            </w:pPr>
            <w:r>
              <w:rPr>
                <w:b/>
                <w:sz w:val="48"/>
              </w:rPr>
              <w:t xml:space="preserve">Wednesday </w:t>
            </w:r>
            <w:r w:rsidR="00EB0AFB">
              <w:rPr>
                <w:b/>
                <w:sz w:val="48"/>
              </w:rPr>
              <w:t>02.11.16</w:t>
            </w:r>
          </w:p>
          <w:p w:rsidR="00EB0AFB" w:rsidRDefault="00EB0AFB">
            <w:pPr>
              <w:pStyle w:val="Formal1"/>
              <w:spacing w:before="0" w:after="0"/>
              <w:rPr>
                <w:b/>
                <w:sz w:val="48"/>
              </w:rPr>
            </w:pPr>
            <w:r>
              <w:rPr>
                <w:b/>
                <w:sz w:val="48"/>
              </w:rPr>
              <w:t>12 O’clock</w:t>
            </w:r>
          </w:p>
          <w:p w:rsidR="0069679C" w:rsidRDefault="0069679C">
            <w:pPr>
              <w:pStyle w:val="Formal1"/>
              <w:spacing w:before="0" w:after="0"/>
              <w:rPr>
                <w:b/>
                <w:sz w:val="48"/>
              </w:rPr>
            </w:pPr>
          </w:p>
          <w:p w:rsidR="0069679C" w:rsidRDefault="0069679C">
            <w:pPr>
              <w:pStyle w:val="Formal1"/>
              <w:spacing w:before="0" w:after="0"/>
              <w:rPr>
                <w:b/>
                <w:sz w:val="28"/>
              </w:rPr>
            </w:pPr>
          </w:p>
          <w:p w:rsidR="0069679C" w:rsidRDefault="0069679C">
            <w:pPr>
              <w:pStyle w:val="Formal1"/>
              <w:spacing w:before="0" w:after="0"/>
              <w:rPr>
                <w:b/>
                <w:sz w:val="28"/>
              </w:rPr>
            </w:pPr>
          </w:p>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bookmarkStart w:id="2" w:name="Names" w:colFirst="0" w:colLast="4"/>
            <w:r>
              <w:t xml:space="preserve">Meeting called by: </w:t>
            </w:r>
          </w:p>
          <w:p w:rsidR="0069679C" w:rsidRDefault="00EB0AFB">
            <w:pPr>
              <w:pStyle w:val="Formal2"/>
            </w:pPr>
            <w:r>
              <w:t>Ann-Marie Rose</w:t>
            </w:r>
          </w:p>
          <w:p w:rsidR="00EB0AFB" w:rsidRDefault="00EB0AFB">
            <w:pPr>
              <w:pStyle w:val="Formal2"/>
            </w:pPr>
            <w:r>
              <w:t>Jane Bower</w:t>
            </w:r>
          </w:p>
        </w:tc>
        <w:tc>
          <w:tcPr>
            <w:tcW w:w="2610" w:type="dxa"/>
          </w:tcPr>
          <w:p w:rsidR="0069679C" w:rsidRDefault="0069679C">
            <w:pPr>
              <w:pStyle w:val="Formal1"/>
            </w:pPr>
          </w:p>
        </w:tc>
        <w:tc>
          <w:tcPr>
            <w:tcW w:w="2610" w:type="dxa"/>
          </w:tcPr>
          <w:p w:rsidR="0069679C" w:rsidRDefault="00F83FA5">
            <w:pPr>
              <w:pStyle w:val="Formal2"/>
            </w:pPr>
            <w:r>
              <w:t xml:space="preserve">Note taker: </w:t>
            </w:r>
            <w:r w:rsidR="00E52791">
              <w:t>Ann-Marie Rose</w:t>
            </w:r>
          </w:p>
        </w:tc>
        <w:tc>
          <w:tcPr>
            <w:tcW w:w="2610" w:type="dxa"/>
          </w:tcPr>
          <w:p w:rsidR="0069679C" w:rsidRDefault="0069679C">
            <w:pPr>
              <w:pStyle w:val="Formal1"/>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bookmarkEnd w:id="2"/>
      <w:tr w:rsidR="0069679C">
        <w:tc>
          <w:tcPr>
            <w:tcW w:w="10440" w:type="dxa"/>
            <w:gridSpan w:val="4"/>
          </w:tcPr>
          <w:p w:rsidR="0069679C" w:rsidRDefault="0069679C">
            <w:pPr>
              <w:pStyle w:val="Formal1"/>
            </w:pPr>
          </w:p>
        </w:tc>
      </w:tr>
      <w:tr w:rsidR="0069679C">
        <w:tc>
          <w:tcPr>
            <w:tcW w:w="2610" w:type="dxa"/>
          </w:tcPr>
          <w:p w:rsidR="0069679C" w:rsidRDefault="0069679C">
            <w:pPr>
              <w:pStyle w:val="Formal2"/>
            </w:pPr>
            <w:bookmarkStart w:id="3" w:name="Attendees" w:colFirst="0" w:colLast="2"/>
            <w:r>
              <w:t>Attendees:</w:t>
            </w:r>
          </w:p>
          <w:p w:rsidR="00123C69" w:rsidRPr="00123C69" w:rsidRDefault="00123C69">
            <w:pPr>
              <w:pStyle w:val="Formal2"/>
              <w:rPr>
                <w:sz w:val="22"/>
                <w:szCs w:val="22"/>
              </w:rPr>
            </w:pPr>
            <w:r w:rsidRPr="00123C69">
              <w:rPr>
                <w:sz w:val="22"/>
                <w:szCs w:val="22"/>
              </w:rPr>
              <w:t>Ann-Marie Rose</w:t>
            </w:r>
          </w:p>
          <w:p w:rsidR="00123C69" w:rsidRPr="00123C69" w:rsidRDefault="00123C69">
            <w:pPr>
              <w:pStyle w:val="Formal2"/>
              <w:rPr>
                <w:sz w:val="22"/>
                <w:szCs w:val="22"/>
              </w:rPr>
            </w:pPr>
            <w:r w:rsidRPr="00123C69">
              <w:rPr>
                <w:sz w:val="22"/>
                <w:szCs w:val="22"/>
              </w:rPr>
              <w:t>Dr Malik</w:t>
            </w:r>
          </w:p>
          <w:p w:rsidR="00123C69" w:rsidRPr="00123C69" w:rsidRDefault="00123C69">
            <w:pPr>
              <w:pStyle w:val="Formal2"/>
              <w:rPr>
                <w:sz w:val="22"/>
                <w:szCs w:val="22"/>
              </w:rPr>
            </w:pPr>
            <w:r w:rsidRPr="00123C69">
              <w:rPr>
                <w:sz w:val="22"/>
                <w:szCs w:val="22"/>
              </w:rPr>
              <w:t>Jane Bower</w:t>
            </w:r>
          </w:p>
          <w:p w:rsidR="00123C69" w:rsidRPr="00123C69" w:rsidRDefault="00123C69">
            <w:pPr>
              <w:pStyle w:val="Formal2"/>
              <w:rPr>
                <w:sz w:val="22"/>
                <w:szCs w:val="22"/>
              </w:rPr>
            </w:pPr>
            <w:r w:rsidRPr="00123C69">
              <w:rPr>
                <w:sz w:val="22"/>
                <w:szCs w:val="22"/>
              </w:rPr>
              <w:t>Dr Akbar</w:t>
            </w:r>
          </w:p>
          <w:p w:rsidR="00EB0AFB" w:rsidRPr="00123C69" w:rsidRDefault="00EB0AFB">
            <w:pPr>
              <w:pStyle w:val="Formal2"/>
              <w:rPr>
                <w:sz w:val="22"/>
                <w:szCs w:val="22"/>
              </w:rPr>
            </w:pPr>
            <w:r w:rsidRPr="00123C69">
              <w:rPr>
                <w:sz w:val="22"/>
                <w:szCs w:val="22"/>
              </w:rPr>
              <w:t>Hillary Firth – John Harrison</w:t>
            </w:r>
          </w:p>
          <w:p w:rsidR="00EB0AFB" w:rsidRPr="00123C69" w:rsidRDefault="00EB0AFB">
            <w:pPr>
              <w:pStyle w:val="Formal2"/>
              <w:rPr>
                <w:sz w:val="22"/>
                <w:szCs w:val="22"/>
              </w:rPr>
            </w:pPr>
            <w:r w:rsidRPr="00123C69">
              <w:rPr>
                <w:sz w:val="22"/>
                <w:szCs w:val="22"/>
              </w:rPr>
              <w:t>Razia Bibi</w:t>
            </w:r>
          </w:p>
          <w:p w:rsidR="00EB0AFB" w:rsidRPr="00123C69" w:rsidRDefault="00E52791">
            <w:pPr>
              <w:pStyle w:val="Formal2"/>
              <w:rPr>
                <w:sz w:val="22"/>
                <w:szCs w:val="22"/>
              </w:rPr>
            </w:pPr>
            <w:r w:rsidRPr="00123C69">
              <w:rPr>
                <w:sz w:val="22"/>
                <w:szCs w:val="22"/>
              </w:rPr>
              <w:t>Wendy Taylor-Chair</w:t>
            </w:r>
          </w:p>
          <w:p w:rsidR="00EB0AFB" w:rsidRDefault="00EB0AFB">
            <w:pPr>
              <w:pStyle w:val="Formal2"/>
              <w:rPr>
                <w:sz w:val="22"/>
                <w:szCs w:val="22"/>
              </w:rPr>
            </w:pPr>
            <w:r w:rsidRPr="00123C69">
              <w:rPr>
                <w:sz w:val="22"/>
                <w:szCs w:val="22"/>
              </w:rPr>
              <w:t xml:space="preserve">Safina </w:t>
            </w:r>
            <w:r w:rsidR="00CF48D5" w:rsidRPr="00123C69">
              <w:rPr>
                <w:sz w:val="22"/>
                <w:szCs w:val="22"/>
              </w:rPr>
              <w:t>Kauser</w:t>
            </w:r>
          </w:p>
          <w:p w:rsidR="00A43E02" w:rsidRPr="00123C69" w:rsidRDefault="00A43E02">
            <w:pPr>
              <w:pStyle w:val="Formal2"/>
              <w:rPr>
                <w:sz w:val="22"/>
                <w:szCs w:val="22"/>
              </w:rPr>
            </w:pPr>
            <w:r>
              <w:rPr>
                <w:sz w:val="22"/>
                <w:szCs w:val="22"/>
              </w:rPr>
              <w:t>Carmel Wilson- Chair(Dr Akbar)</w:t>
            </w:r>
          </w:p>
          <w:p w:rsidR="00CF48D5" w:rsidRPr="00123C69" w:rsidRDefault="00CF48D5">
            <w:pPr>
              <w:pStyle w:val="Formal2"/>
              <w:rPr>
                <w:sz w:val="22"/>
                <w:szCs w:val="22"/>
              </w:rPr>
            </w:pPr>
            <w:r w:rsidRPr="00123C69">
              <w:rPr>
                <w:sz w:val="22"/>
                <w:szCs w:val="22"/>
              </w:rPr>
              <w:t>Viki Hunt -apologies</w:t>
            </w:r>
          </w:p>
          <w:p w:rsidR="0069679C" w:rsidRDefault="0069679C">
            <w:pPr>
              <w:pStyle w:val="Formal2"/>
            </w:pPr>
          </w:p>
        </w:tc>
        <w:tc>
          <w:tcPr>
            <w:tcW w:w="7830" w:type="dxa"/>
            <w:gridSpan w:val="3"/>
          </w:tcPr>
          <w:p w:rsidR="0069679C" w:rsidRDefault="0069679C">
            <w:pPr>
              <w:pStyle w:val="Formal1"/>
            </w:pPr>
          </w:p>
          <w:p w:rsidR="0069679C" w:rsidRDefault="0069679C">
            <w:pPr>
              <w:pStyle w:val="Formal1"/>
            </w:pPr>
          </w:p>
        </w:tc>
      </w:tr>
      <w:bookmarkEnd w:id="3"/>
      <w:tr w:rsidR="0069679C">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EB0AFB" w:rsidRPr="00E52791" w:rsidRDefault="00EB0AFB" w:rsidP="00EB0AFB">
            <w:pPr>
              <w:pStyle w:val="Formal1"/>
              <w:spacing w:before="120" w:after="120"/>
              <w:rPr>
                <w:sz w:val="22"/>
                <w:szCs w:val="22"/>
              </w:rPr>
            </w:pPr>
            <w:r w:rsidRPr="00E52791">
              <w:rPr>
                <w:sz w:val="22"/>
                <w:szCs w:val="22"/>
              </w:rPr>
              <w:t xml:space="preserve">Ann-Marie and </w:t>
            </w:r>
            <w:r w:rsidR="00123C69">
              <w:rPr>
                <w:sz w:val="22"/>
                <w:szCs w:val="22"/>
              </w:rPr>
              <w:t>J</w:t>
            </w:r>
            <w:r w:rsidRPr="00E52791">
              <w:rPr>
                <w:sz w:val="22"/>
                <w:szCs w:val="22"/>
              </w:rPr>
              <w:t>ane Bower thanked everyone for coming to th</w:t>
            </w:r>
            <w:r w:rsidR="00E52791" w:rsidRPr="00E52791">
              <w:rPr>
                <w:sz w:val="22"/>
                <w:szCs w:val="22"/>
              </w:rPr>
              <w:t>is meeting and did introductions.</w:t>
            </w:r>
          </w:p>
          <w:p w:rsidR="00EB0AFB" w:rsidRPr="00E52791" w:rsidRDefault="00EB0AFB" w:rsidP="00EB0AFB">
            <w:pPr>
              <w:pStyle w:val="Formal1"/>
              <w:spacing w:before="120" w:after="120"/>
              <w:rPr>
                <w:sz w:val="22"/>
                <w:szCs w:val="22"/>
              </w:rPr>
            </w:pPr>
            <w:r w:rsidRPr="00E52791">
              <w:rPr>
                <w:sz w:val="22"/>
                <w:szCs w:val="22"/>
              </w:rPr>
              <w:t>The group discussed:</w:t>
            </w:r>
          </w:p>
          <w:p w:rsidR="00EB0AFB" w:rsidRPr="00E52791" w:rsidRDefault="00EB0AFB" w:rsidP="00EB0AFB">
            <w:pPr>
              <w:pStyle w:val="Formal1"/>
              <w:spacing w:before="120" w:after="120"/>
              <w:rPr>
                <w:b/>
                <w:sz w:val="22"/>
                <w:szCs w:val="22"/>
              </w:rPr>
            </w:pPr>
            <w:r w:rsidRPr="00E52791">
              <w:rPr>
                <w:b/>
                <w:sz w:val="22"/>
                <w:szCs w:val="22"/>
              </w:rPr>
              <w:t>Quality Premium Payments to the Practice</w:t>
            </w:r>
          </w:p>
          <w:p w:rsidR="00EB0AFB" w:rsidRPr="00E52791" w:rsidRDefault="00EB0AFB" w:rsidP="00EB0AFB">
            <w:pPr>
              <w:pStyle w:val="Formal1"/>
              <w:spacing w:before="120" w:after="120"/>
              <w:rPr>
                <w:sz w:val="22"/>
                <w:szCs w:val="22"/>
              </w:rPr>
            </w:pPr>
            <w:r w:rsidRPr="00E52791">
              <w:rPr>
                <w:sz w:val="22"/>
                <w:szCs w:val="22"/>
              </w:rPr>
              <w:t>Moor Park Medical Practice has now submitted the second report to the CCG for quality premiums which Wendy Harrison signed on behalf of the PPG. Copies given out to everyone here.</w:t>
            </w:r>
          </w:p>
          <w:p w:rsidR="00EB0AFB" w:rsidRPr="00E52791" w:rsidRDefault="00EB0AFB" w:rsidP="00EB0AFB">
            <w:pPr>
              <w:pStyle w:val="Formal1"/>
              <w:spacing w:before="120" w:after="120"/>
              <w:rPr>
                <w:sz w:val="22"/>
                <w:szCs w:val="22"/>
              </w:rPr>
            </w:pPr>
            <w:r w:rsidRPr="00E52791">
              <w:rPr>
                <w:sz w:val="22"/>
                <w:szCs w:val="22"/>
              </w:rPr>
              <w:t xml:space="preserve">Dr Akbar’s Surgery has now submitted the second report to the CCG for quality premiums which  </w:t>
            </w:r>
            <w:r w:rsidR="00A42294">
              <w:rPr>
                <w:sz w:val="22"/>
                <w:szCs w:val="22"/>
              </w:rPr>
              <w:t xml:space="preserve">their chair </w:t>
            </w:r>
            <w:r w:rsidRPr="00E52791">
              <w:rPr>
                <w:sz w:val="22"/>
                <w:szCs w:val="22"/>
              </w:rPr>
              <w:t xml:space="preserve">         </w:t>
            </w:r>
            <w:r w:rsidR="00A43E02">
              <w:rPr>
                <w:sz w:val="22"/>
                <w:szCs w:val="22"/>
              </w:rPr>
              <w:t xml:space="preserve">Carmel Wilson </w:t>
            </w:r>
            <w:r w:rsidRPr="00E52791">
              <w:rPr>
                <w:sz w:val="22"/>
                <w:szCs w:val="22"/>
              </w:rPr>
              <w:t>signed on behalf of the PPG. Copies given out to everyone here.</w:t>
            </w:r>
          </w:p>
          <w:p w:rsidR="00EB0AFB" w:rsidRPr="00E52791" w:rsidRDefault="00EB0AFB" w:rsidP="00EB0AFB">
            <w:pPr>
              <w:pStyle w:val="Formal1"/>
              <w:spacing w:before="120" w:after="120"/>
              <w:rPr>
                <w:sz w:val="22"/>
                <w:szCs w:val="22"/>
              </w:rPr>
            </w:pPr>
            <w:r w:rsidRPr="00E52791">
              <w:rPr>
                <w:sz w:val="22"/>
                <w:szCs w:val="22"/>
              </w:rPr>
              <w:t xml:space="preserve">Both surgeries are using the money allocated to help with patient care by employing Ed Melbourne in house </w:t>
            </w:r>
            <w:r w:rsidRPr="00E52791">
              <w:rPr>
                <w:sz w:val="22"/>
                <w:szCs w:val="22"/>
              </w:rPr>
              <w:lastRenderedPageBreak/>
              <w:t xml:space="preserve">pharmacist for more hours which will help with </w:t>
            </w:r>
            <w:r w:rsidR="00CF48D5" w:rsidRPr="00E52791">
              <w:rPr>
                <w:sz w:val="22"/>
                <w:szCs w:val="22"/>
              </w:rPr>
              <w:t xml:space="preserve">the </w:t>
            </w:r>
            <w:r w:rsidRPr="00E52791">
              <w:rPr>
                <w:sz w:val="22"/>
                <w:szCs w:val="22"/>
              </w:rPr>
              <w:t>access and demand for patients.</w:t>
            </w:r>
            <w:r w:rsidR="00CF48D5" w:rsidRPr="00E52791">
              <w:rPr>
                <w:sz w:val="22"/>
                <w:szCs w:val="22"/>
              </w:rPr>
              <w:t xml:space="preserve"> Free up GP time and focus on patient care and needs.</w:t>
            </w:r>
          </w:p>
          <w:p w:rsidR="00EB0AFB" w:rsidRPr="00E52791" w:rsidRDefault="00EB0AFB" w:rsidP="00EB0AFB">
            <w:pPr>
              <w:pStyle w:val="Formal1"/>
              <w:spacing w:before="120" w:after="120"/>
              <w:rPr>
                <w:sz w:val="22"/>
                <w:szCs w:val="22"/>
              </w:rPr>
            </w:pPr>
            <w:r w:rsidRPr="00E52791">
              <w:rPr>
                <w:sz w:val="22"/>
                <w:szCs w:val="22"/>
              </w:rPr>
              <w:t>Moor Park Medical Practice has bought a new colour printer so posters and leaflets can be displayed in colour around the surgery. A new laptop was also purchased for Dr Malik</w:t>
            </w:r>
          </w:p>
          <w:p w:rsidR="00EB0AFB" w:rsidRPr="00E52791" w:rsidRDefault="00EB0AFB" w:rsidP="00EB0AFB">
            <w:pPr>
              <w:pStyle w:val="Formal1"/>
              <w:spacing w:before="120" w:after="120"/>
              <w:rPr>
                <w:sz w:val="22"/>
                <w:szCs w:val="22"/>
              </w:rPr>
            </w:pPr>
            <w:r w:rsidRPr="00E52791">
              <w:rPr>
                <w:sz w:val="22"/>
                <w:szCs w:val="22"/>
              </w:rPr>
              <w:t xml:space="preserve">Dr </w:t>
            </w:r>
            <w:r w:rsidR="00CF48D5" w:rsidRPr="00E52791">
              <w:rPr>
                <w:sz w:val="22"/>
                <w:szCs w:val="22"/>
              </w:rPr>
              <w:t>Akbar’s</w:t>
            </w:r>
            <w:r w:rsidRPr="00E52791">
              <w:rPr>
                <w:sz w:val="22"/>
                <w:szCs w:val="22"/>
              </w:rPr>
              <w:t xml:space="preserve"> surgery have </w:t>
            </w:r>
            <w:r w:rsidR="0024321C" w:rsidRPr="00E52791">
              <w:rPr>
                <w:sz w:val="22"/>
                <w:szCs w:val="22"/>
              </w:rPr>
              <w:t>purchased some new chairs for the waiting room area</w:t>
            </w:r>
          </w:p>
          <w:p w:rsidR="0024321C" w:rsidRPr="00E52791" w:rsidRDefault="0024321C" w:rsidP="00EB0AFB">
            <w:pPr>
              <w:pStyle w:val="Formal1"/>
              <w:spacing w:before="120" w:after="120"/>
              <w:rPr>
                <w:b/>
                <w:sz w:val="22"/>
                <w:szCs w:val="22"/>
              </w:rPr>
            </w:pPr>
            <w:r w:rsidRPr="00E52791">
              <w:rPr>
                <w:b/>
                <w:sz w:val="22"/>
                <w:szCs w:val="22"/>
              </w:rPr>
              <w:t>Well Bing and Resilience Course</w:t>
            </w:r>
          </w:p>
          <w:p w:rsidR="0024321C" w:rsidRPr="00E52791" w:rsidRDefault="0024321C" w:rsidP="00EB0AFB">
            <w:pPr>
              <w:pStyle w:val="Formal1"/>
              <w:spacing w:before="120" w:after="120"/>
              <w:rPr>
                <w:sz w:val="22"/>
                <w:szCs w:val="22"/>
              </w:rPr>
            </w:pPr>
            <w:r w:rsidRPr="00E52791">
              <w:rPr>
                <w:sz w:val="22"/>
                <w:szCs w:val="22"/>
              </w:rPr>
              <w:t xml:space="preserve">Copies of the </w:t>
            </w:r>
            <w:r w:rsidR="00CF48D5" w:rsidRPr="00E52791">
              <w:rPr>
                <w:sz w:val="22"/>
                <w:szCs w:val="22"/>
              </w:rPr>
              <w:t>wellbeing</w:t>
            </w:r>
            <w:r w:rsidRPr="00E52791">
              <w:rPr>
                <w:sz w:val="22"/>
                <w:szCs w:val="22"/>
              </w:rPr>
              <w:t xml:space="preserve"> and resilience course details have been sent out to all PPG members in both practices. Handouts were given to the group today</w:t>
            </w:r>
            <w:r w:rsidR="00CF48D5" w:rsidRPr="00E52791">
              <w:rPr>
                <w:sz w:val="22"/>
                <w:szCs w:val="22"/>
              </w:rPr>
              <w:t>. It’s a 6 week free course for patients to attend</w:t>
            </w:r>
          </w:p>
          <w:p w:rsidR="0024321C" w:rsidRPr="00E52791" w:rsidRDefault="0024321C" w:rsidP="00EB0AFB">
            <w:pPr>
              <w:pStyle w:val="Formal1"/>
              <w:spacing w:before="120" w:after="120"/>
              <w:rPr>
                <w:b/>
                <w:sz w:val="22"/>
                <w:szCs w:val="22"/>
              </w:rPr>
            </w:pPr>
            <w:r w:rsidRPr="00E52791">
              <w:rPr>
                <w:b/>
                <w:sz w:val="22"/>
                <w:szCs w:val="22"/>
              </w:rPr>
              <w:t>Community Nursing</w:t>
            </w:r>
          </w:p>
          <w:p w:rsidR="0024321C" w:rsidRPr="00E52791" w:rsidRDefault="0024321C" w:rsidP="00EB0AFB">
            <w:pPr>
              <w:pStyle w:val="Formal1"/>
              <w:spacing w:before="120" w:after="120"/>
              <w:rPr>
                <w:sz w:val="22"/>
                <w:szCs w:val="22"/>
              </w:rPr>
            </w:pPr>
            <w:r w:rsidRPr="00E52791">
              <w:rPr>
                <w:sz w:val="22"/>
                <w:szCs w:val="22"/>
              </w:rPr>
              <w:t xml:space="preserve">The community nursing and district nurse team are changing ways of working. Joanna Clough our community matron will no longer care for patients at both surgeries. New services are being put in place and this will be updated to patients </w:t>
            </w:r>
            <w:r w:rsidR="00E52791" w:rsidRPr="00E52791">
              <w:rPr>
                <w:sz w:val="22"/>
                <w:szCs w:val="22"/>
              </w:rPr>
              <w:t xml:space="preserve">and the PPG </w:t>
            </w:r>
            <w:r w:rsidRPr="00E52791">
              <w:rPr>
                <w:sz w:val="22"/>
                <w:szCs w:val="22"/>
              </w:rPr>
              <w:t>as we get the information.</w:t>
            </w:r>
          </w:p>
          <w:p w:rsidR="0024321C" w:rsidRPr="00E52791" w:rsidRDefault="0024321C" w:rsidP="00EB0AFB">
            <w:pPr>
              <w:pStyle w:val="Formal1"/>
              <w:spacing w:before="120" w:after="120"/>
              <w:rPr>
                <w:b/>
                <w:sz w:val="22"/>
                <w:szCs w:val="22"/>
              </w:rPr>
            </w:pPr>
            <w:r w:rsidRPr="00E52791">
              <w:rPr>
                <w:b/>
                <w:sz w:val="22"/>
                <w:szCs w:val="22"/>
              </w:rPr>
              <w:t>Flu</w:t>
            </w:r>
          </w:p>
          <w:p w:rsidR="0024321C" w:rsidRPr="00E52791" w:rsidRDefault="0024321C" w:rsidP="00EB0AFB">
            <w:pPr>
              <w:pStyle w:val="Formal1"/>
              <w:spacing w:before="120" w:after="120"/>
              <w:rPr>
                <w:sz w:val="22"/>
                <w:szCs w:val="22"/>
              </w:rPr>
            </w:pPr>
            <w:r w:rsidRPr="00E52791">
              <w:rPr>
                <w:sz w:val="22"/>
                <w:szCs w:val="22"/>
              </w:rPr>
              <w:t>Both practices are offering the flu vaccination and have had a slow uptake this year maybe down to the weather being mild for this time of year. Both practices will encourage patients to have the vaccine asap</w:t>
            </w:r>
          </w:p>
          <w:p w:rsidR="0024321C" w:rsidRPr="00E52791" w:rsidRDefault="0024321C" w:rsidP="00EB0AFB">
            <w:pPr>
              <w:pStyle w:val="Formal1"/>
              <w:spacing w:before="120" w:after="120"/>
              <w:rPr>
                <w:b/>
                <w:sz w:val="22"/>
                <w:szCs w:val="22"/>
              </w:rPr>
            </w:pPr>
            <w:r w:rsidRPr="00E52791">
              <w:rPr>
                <w:b/>
                <w:sz w:val="22"/>
                <w:szCs w:val="22"/>
              </w:rPr>
              <w:t>Self Care</w:t>
            </w:r>
          </w:p>
          <w:p w:rsidR="0024321C" w:rsidRPr="00E52791" w:rsidRDefault="00CF48D5" w:rsidP="00EB0AFB">
            <w:pPr>
              <w:pStyle w:val="Formal1"/>
              <w:spacing w:before="120" w:after="120"/>
              <w:rPr>
                <w:sz w:val="22"/>
                <w:szCs w:val="22"/>
              </w:rPr>
            </w:pPr>
            <w:r w:rsidRPr="00E52791">
              <w:rPr>
                <w:sz w:val="22"/>
                <w:szCs w:val="22"/>
              </w:rPr>
              <w:t>Self-care</w:t>
            </w:r>
            <w:r w:rsidR="0024321C" w:rsidRPr="00E52791">
              <w:rPr>
                <w:sz w:val="22"/>
                <w:szCs w:val="22"/>
              </w:rPr>
              <w:t xml:space="preserve"> week </w:t>
            </w:r>
            <w:r w:rsidRPr="00E52791">
              <w:rPr>
                <w:sz w:val="22"/>
                <w:szCs w:val="22"/>
              </w:rPr>
              <w:t>14-20</w:t>
            </w:r>
            <w:r w:rsidRPr="00E52791">
              <w:rPr>
                <w:sz w:val="22"/>
                <w:szCs w:val="22"/>
                <w:vertAlign w:val="superscript"/>
              </w:rPr>
              <w:t>th</w:t>
            </w:r>
            <w:r w:rsidRPr="00E52791">
              <w:rPr>
                <w:sz w:val="22"/>
                <w:szCs w:val="22"/>
              </w:rPr>
              <w:t xml:space="preserve"> November 2016 </w:t>
            </w:r>
            <w:r w:rsidR="0024321C" w:rsidRPr="00E52791">
              <w:rPr>
                <w:sz w:val="22"/>
                <w:szCs w:val="22"/>
              </w:rPr>
              <w:t xml:space="preserve">was discussed and how patients can be encouraged to take a more active part in their own </w:t>
            </w:r>
            <w:r w:rsidRPr="00E52791">
              <w:rPr>
                <w:sz w:val="22"/>
                <w:szCs w:val="22"/>
              </w:rPr>
              <w:t>self-care</w:t>
            </w:r>
            <w:r w:rsidR="0024321C" w:rsidRPr="00E52791">
              <w:rPr>
                <w:sz w:val="22"/>
                <w:szCs w:val="22"/>
              </w:rPr>
              <w:t xml:space="preserve">. The 3 practices within the health centre work collaboratively together and are organising special event days within the health centre with voluntary organisations. This </w:t>
            </w:r>
            <w:r w:rsidRPr="00E52791">
              <w:rPr>
                <w:sz w:val="22"/>
                <w:szCs w:val="22"/>
              </w:rPr>
              <w:t xml:space="preserve">is part of the Treasure </w:t>
            </w:r>
            <w:r w:rsidR="0024321C" w:rsidRPr="00E52791">
              <w:rPr>
                <w:sz w:val="22"/>
                <w:szCs w:val="22"/>
              </w:rPr>
              <w:t>Chest incentive.</w:t>
            </w:r>
          </w:p>
          <w:p w:rsidR="00CF48D5" w:rsidRPr="00E52791" w:rsidRDefault="00CF48D5" w:rsidP="00EB0AFB">
            <w:pPr>
              <w:pStyle w:val="Formal1"/>
              <w:spacing w:before="120" w:after="120"/>
              <w:rPr>
                <w:sz w:val="22"/>
                <w:szCs w:val="22"/>
              </w:rPr>
            </w:pPr>
            <w:r w:rsidRPr="00E52791">
              <w:rPr>
                <w:sz w:val="22"/>
                <w:szCs w:val="22"/>
              </w:rPr>
              <w:t>Leaflets on self-care were sent out to the PPG members and handed out at meeting</w:t>
            </w:r>
          </w:p>
          <w:p w:rsidR="0024321C" w:rsidRPr="00E52791" w:rsidRDefault="0024321C" w:rsidP="00EB0AFB">
            <w:pPr>
              <w:pStyle w:val="Formal1"/>
              <w:spacing w:before="120" w:after="120"/>
              <w:rPr>
                <w:b/>
                <w:sz w:val="22"/>
                <w:szCs w:val="22"/>
              </w:rPr>
            </w:pPr>
            <w:r w:rsidRPr="00E52791">
              <w:rPr>
                <w:b/>
                <w:sz w:val="22"/>
                <w:szCs w:val="22"/>
              </w:rPr>
              <w:t>Pharmacy First</w:t>
            </w:r>
          </w:p>
          <w:p w:rsidR="0024321C" w:rsidRPr="00E52791" w:rsidRDefault="0024321C" w:rsidP="00EB0AFB">
            <w:pPr>
              <w:pStyle w:val="Formal1"/>
              <w:spacing w:before="120" w:after="120"/>
              <w:rPr>
                <w:sz w:val="22"/>
                <w:szCs w:val="22"/>
              </w:rPr>
            </w:pPr>
            <w:r w:rsidRPr="00E52791">
              <w:rPr>
                <w:sz w:val="22"/>
                <w:szCs w:val="22"/>
              </w:rPr>
              <w:t xml:space="preserve">This service will continue but the pharmacies will not be giving free medication out to patients from march 2017. Practices still need to encourage patients to go to the pharmacy first before the GP. All agreed this would cause come confusion at first as </w:t>
            </w:r>
            <w:r w:rsidR="00CF48D5" w:rsidRPr="00E52791">
              <w:rPr>
                <w:sz w:val="22"/>
                <w:szCs w:val="22"/>
              </w:rPr>
              <w:t>the patients</w:t>
            </w:r>
            <w:r w:rsidRPr="00E52791">
              <w:rPr>
                <w:sz w:val="22"/>
                <w:szCs w:val="22"/>
              </w:rPr>
              <w:t xml:space="preserve"> have only just got used to going to the pharmacy and now expect free medication from there.</w:t>
            </w:r>
          </w:p>
          <w:p w:rsidR="0024321C" w:rsidRPr="00E52791" w:rsidRDefault="0024321C" w:rsidP="00EB0AFB">
            <w:pPr>
              <w:pStyle w:val="Formal1"/>
              <w:spacing w:before="120" w:after="120"/>
              <w:rPr>
                <w:sz w:val="22"/>
                <w:szCs w:val="22"/>
              </w:rPr>
            </w:pPr>
            <w:r w:rsidRPr="00E52791">
              <w:rPr>
                <w:sz w:val="22"/>
                <w:szCs w:val="22"/>
              </w:rPr>
              <w:t xml:space="preserve">All practices are to encourage patients to </w:t>
            </w:r>
            <w:r w:rsidR="00CF48D5" w:rsidRPr="00E52791">
              <w:rPr>
                <w:sz w:val="22"/>
                <w:szCs w:val="22"/>
              </w:rPr>
              <w:t>self-care</w:t>
            </w:r>
            <w:r w:rsidRPr="00E52791">
              <w:rPr>
                <w:sz w:val="22"/>
                <w:szCs w:val="22"/>
              </w:rPr>
              <w:t xml:space="preserve"> and buy any medication they can over the counter.</w:t>
            </w:r>
          </w:p>
          <w:p w:rsidR="0024321C" w:rsidRPr="00E52791" w:rsidRDefault="0024321C" w:rsidP="00EB0AFB">
            <w:pPr>
              <w:pStyle w:val="Formal1"/>
              <w:spacing w:before="120" w:after="120"/>
              <w:rPr>
                <w:b/>
                <w:sz w:val="22"/>
                <w:szCs w:val="22"/>
              </w:rPr>
            </w:pPr>
            <w:r w:rsidRPr="00E52791">
              <w:rPr>
                <w:b/>
                <w:sz w:val="22"/>
                <w:szCs w:val="22"/>
              </w:rPr>
              <w:t>EPS</w:t>
            </w:r>
          </w:p>
          <w:p w:rsidR="0024321C" w:rsidRPr="00E52791" w:rsidRDefault="00CF48D5" w:rsidP="00EB0AFB">
            <w:pPr>
              <w:pStyle w:val="Formal1"/>
              <w:spacing w:before="120" w:after="120"/>
              <w:rPr>
                <w:sz w:val="22"/>
                <w:szCs w:val="22"/>
              </w:rPr>
            </w:pPr>
            <w:r w:rsidRPr="00E52791">
              <w:rPr>
                <w:sz w:val="22"/>
                <w:szCs w:val="22"/>
              </w:rPr>
              <w:t>Electronic</w:t>
            </w:r>
            <w:r w:rsidR="0024321C" w:rsidRPr="00E52791">
              <w:rPr>
                <w:sz w:val="22"/>
                <w:szCs w:val="22"/>
              </w:rPr>
              <w:t xml:space="preserve"> prescription service going well and both practices encourage patients to join a pharmacy and get prescriptions sent by EPS</w:t>
            </w:r>
          </w:p>
          <w:p w:rsidR="0024321C" w:rsidRPr="00E52791" w:rsidRDefault="0024321C" w:rsidP="00EB0AFB">
            <w:pPr>
              <w:pStyle w:val="Formal1"/>
              <w:spacing w:before="120" w:after="120"/>
              <w:rPr>
                <w:b/>
                <w:sz w:val="22"/>
                <w:szCs w:val="22"/>
              </w:rPr>
            </w:pPr>
            <w:r w:rsidRPr="00E52791">
              <w:rPr>
                <w:b/>
                <w:sz w:val="22"/>
                <w:szCs w:val="22"/>
              </w:rPr>
              <w:t>Prescriptions</w:t>
            </w:r>
          </w:p>
          <w:p w:rsidR="0024321C" w:rsidRDefault="0024321C" w:rsidP="00EB0AFB">
            <w:pPr>
              <w:pStyle w:val="Formal1"/>
              <w:spacing w:before="120" w:after="120"/>
              <w:rPr>
                <w:sz w:val="22"/>
                <w:szCs w:val="22"/>
              </w:rPr>
            </w:pPr>
            <w:r w:rsidRPr="00E52791">
              <w:rPr>
                <w:sz w:val="22"/>
                <w:szCs w:val="22"/>
              </w:rPr>
              <w:t>Practices are to encourage patients to order their own medication and not allow the pharmacies to put the order in. this is to stop patients being delivered unnecessary medication which they don’t need.</w:t>
            </w:r>
          </w:p>
          <w:p w:rsidR="00310D80" w:rsidRDefault="00310D80" w:rsidP="00EB0AFB">
            <w:pPr>
              <w:pStyle w:val="Formal1"/>
              <w:spacing w:before="120" w:after="120"/>
              <w:rPr>
                <w:sz w:val="22"/>
                <w:szCs w:val="22"/>
              </w:rPr>
            </w:pPr>
            <w:r>
              <w:rPr>
                <w:sz w:val="22"/>
                <w:szCs w:val="22"/>
              </w:rPr>
              <w:t>Procedures are being put in place at the surgery to help with this:</w:t>
            </w:r>
          </w:p>
          <w:p w:rsidR="00310D80" w:rsidRPr="00E52791" w:rsidRDefault="00310D80" w:rsidP="00EB0AFB">
            <w:pPr>
              <w:pStyle w:val="Formal1"/>
              <w:spacing w:before="120" w:after="120"/>
              <w:rPr>
                <w:sz w:val="22"/>
                <w:szCs w:val="22"/>
              </w:rPr>
            </w:pPr>
            <w:r>
              <w:rPr>
                <w:sz w:val="22"/>
                <w:szCs w:val="22"/>
              </w:rPr>
              <w:t>Advertisements, leaflets, posters, call board and other methods of communication are being used to get this message across to patients.</w:t>
            </w:r>
          </w:p>
          <w:p w:rsidR="0024321C" w:rsidRPr="00E52791" w:rsidRDefault="00CF48D5" w:rsidP="00EB0AFB">
            <w:pPr>
              <w:pStyle w:val="Formal1"/>
              <w:spacing w:before="120" w:after="120"/>
              <w:rPr>
                <w:b/>
                <w:sz w:val="22"/>
                <w:szCs w:val="22"/>
              </w:rPr>
            </w:pPr>
            <w:r w:rsidRPr="00E52791">
              <w:rPr>
                <w:b/>
                <w:sz w:val="22"/>
                <w:szCs w:val="22"/>
              </w:rPr>
              <w:t>Patient Engagement</w:t>
            </w:r>
          </w:p>
          <w:p w:rsidR="00CF48D5" w:rsidRPr="00E52791" w:rsidRDefault="00CF48D5" w:rsidP="00EB0AFB">
            <w:pPr>
              <w:pStyle w:val="Formal1"/>
              <w:spacing w:before="120" w:after="120"/>
              <w:rPr>
                <w:sz w:val="22"/>
                <w:szCs w:val="22"/>
              </w:rPr>
            </w:pPr>
            <w:r w:rsidRPr="00E52791">
              <w:rPr>
                <w:sz w:val="22"/>
                <w:szCs w:val="22"/>
              </w:rPr>
              <w:t>Both practices work well on patient engagement and have good leads we also work collaboratively with Michelle from Avicenna practice.</w:t>
            </w:r>
          </w:p>
          <w:p w:rsidR="00CF48D5" w:rsidRPr="00E52791" w:rsidRDefault="00CF48D5" w:rsidP="00EB0AFB">
            <w:pPr>
              <w:pStyle w:val="Formal1"/>
              <w:spacing w:before="120" w:after="120"/>
              <w:rPr>
                <w:b/>
                <w:sz w:val="22"/>
                <w:szCs w:val="22"/>
              </w:rPr>
            </w:pPr>
            <w:r w:rsidRPr="00E52791">
              <w:rPr>
                <w:b/>
                <w:sz w:val="22"/>
                <w:szCs w:val="22"/>
              </w:rPr>
              <w:lastRenderedPageBreak/>
              <w:t>Suggestions From patients</w:t>
            </w:r>
          </w:p>
          <w:p w:rsidR="00CF48D5" w:rsidRPr="00E52791" w:rsidRDefault="00CF48D5" w:rsidP="00EB0AFB">
            <w:pPr>
              <w:pStyle w:val="Formal1"/>
              <w:spacing w:before="120" w:after="120"/>
              <w:rPr>
                <w:sz w:val="22"/>
                <w:szCs w:val="22"/>
              </w:rPr>
            </w:pPr>
            <w:r w:rsidRPr="00E52791">
              <w:rPr>
                <w:sz w:val="22"/>
                <w:szCs w:val="22"/>
              </w:rPr>
              <w:t>It was suggested by a member of the PPG group who is a patient of Moor Park Medical Practice to help with Online training. Moor park medical practice has now had training sessions with patients and have had good feedback. This is advertised on reception and around the surgery.</w:t>
            </w:r>
          </w:p>
          <w:p w:rsidR="00E52791" w:rsidRPr="00E52791" w:rsidRDefault="00E52791" w:rsidP="00EB0AFB">
            <w:pPr>
              <w:pStyle w:val="Formal1"/>
              <w:spacing w:before="120" w:after="120"/>
              <w:rPr>
                <w:b/>
                <w:sz w:val="22"/>
                <w:szCs w:val="22"/>
              </w:rPr>
            </w:pPr>
            <w:r w:rsidRPr="00E52791">
              <w:rPr>
                <w:b/>
                <w:sz w:val="22"/>
                <w:szCs w:val="22"/>
              </w:rPr>
              <w:t>BBD &amp; Diabetes 9 Care Process</w:t>
            </w:r>
          </w:p>
          <w:p w:rsidR="00E52791" w:rsidRPr="00E52791" w:rsidRDefault="00E52791" w:rsidP="00EB0AFB">
            <w:pPr>
              <w:pStyle w:val="Formal1"/>
              <w:spacing w:before="120" w:after="120"/>
              <w:rPr>
                <w:sz w:val="22"/>
                <w:szCs w:val="22"/>
              </w:rPr>
            </w:pPr>
            <w:r w:rsidRPr="00E52791">
              <w:rPr>
                <w:sz w:val="22"/>
                <w:szCs w:val="22"/>
              </w:rPr>
              <w:t>Both Practices continue to work hard on the Bradford Beating Diabetes scheme and the Diabetes 9 Care Process we are always looking at ways to improve our services for patients.</w:t>
            </w:r>
          </w:p>
          <w:p w:rsidR="00CF48D5" w:rsidRDefault="00E52791" w:rsidP="00EB0AFB">
            <w:pPr>
              <w:pStyle w:val="Formal1"/>
              <w:spacing w:before="120" w:after="120"/>
              <w:rPr>
                <w:sz w:val="22"/>
                <w:szCs w:val="22"/>
              </w:rPr>
            </w:pPr>
            <w:r w:rsidRPr="00E52791">
              <w:rPr>
                <w:sz w:val="22"/>
                <w:szCs w:val="22"/>
              </w:rPr>
              <w:t>Razia Bibi – Moor Park Medical practice patient engagement lead works with the practice Nurse on all diabetes work, she is the lead person in admin for this.</w:t>
            </w:r>
          </w:p>
          <w:p w:rsidR="00A42294" w:rsidRDefault="00A42294" w:rsidP="00EB0AFB">
            <w:pPr>
              <w:pStyle w:val="Formal1"/>
              <w:spacing w:before="120" w:after="120"/>
              <w:rPr>
                <w:sz w:val="22"/>
                <w:szCs w:val="22"/>
              </w:rPr>
            </w:pPr>
          </w:p>
          <w:p w:rsidR="00A42294" w:rsidRPr="00A42294" w:rsidRDefault="00A42294" w:rsidP="00EB0AFB">
            <w:pPr>
              <w:pStyle w:val="Formal1"/>
              <w:spacing w:before="120" w:after="120"/>
              <w:rPr>
                <w:b/>
                <w:sz w:val="22"/>
                <w:szCs w:val="22"/>
              </w:rPr>
            </w:pPr>
            <w:r w:rsidRPr="00A42294">
              <w:rPr>
                <w:b/>
                <w:sz w:val="22"/>
                <w:szCs w:val="22"/>
              </w:rPr>
              <w:t>Access &amp; Demand</w:t>
            </w:r>
          </w:p>
          <w:p w:rsidR="00A42294" w:rsidRDefault="00A42294" w:rsidP="00EB0AFB">
            <w:pPr>
              <w:pStyle w:val="Formal1"/>
              <w:spacing w:before="120" w:after="120"/>
              <w:rPr>
                <w:sz w:val="22"/>
                <w:szCs w:val="22"/>
              </w:rPr>
            </w:pPr>
            <w:r>
              <w:rPr>
                <w:sz w:val="22"/>
                <w:szCs w:val="22"/>
              </w:rPr>
              <w:t>Both Practices are working on Access &amp; demand looking at ways to improve services for patients and help with patient care and access</w:t>
            </w:r>
          </w:p>
          <w:p w:rsidR="00A42294" w:rsidRDefault="00A42294" w:rsidP="00EB0AFB">
            <w:pPr>
              <w:pStyle w:val="Formal1"/>
              <w:spacing w:before="120" w:after="120"/>
              <w:rPr>
                <w:sz w:val="22"/>
                <w:szCs w:val="22"/>
              </w:rPr>
            </w:pPr>
            <w:r>
              <w:rPr>
                <w:sz w:val="22"/>
                <w:szCs w:val="22"/>
              </w:rPr>
              <w:t>Looking at outside organisations help</w:t>
            </w:r>
          </w:p>
          <w:p w:rsidR="00A42294" w:rsidRDefault="00A42294" w:rsidP="00EB0AFB">
            <w:pPr>
              <w:pStyle w:val="Formal1"/>
              <w:spacing w:before="120" w:after="120"/>
              <w:rPr>
                <w:sz w:val="22"/>
                <w:szCs w:val="22"/>
              </w:rPr>
            </w:pPr>
          </w:p>
          <w:p w:rsidR="00A42294" w:rsidRPr="00A42294" w:rsidRDefault="00A42294" w:rsidP="00EB0AFB">
            <w:pPr>
              <w:pStyle w:val="Formal1"/>
              <w:spacing w:before="120" w:after="120"/>
              <w:rPr>
                <w:b/>
                <w:sz w:val="22"/>
                <w:szCs w:val="22"/>
              </w:rPr>
            </w:pPr>
            <w:r w:rsidRPr="00A42294">
              <w:rPr>
                <w:b/>
                <w:sz w:val="22"/>
                <w:szCs w:val="22"/>
              </w:rPr>
              <w:t>Health Care Week- Barkerend Health Centre</w:t>
            </w:r>
          </w:p>
          <w:p w:rsidR="00A42294" w:rsidRDefault="00A42294" w:rsidP="00EB0AFB">
            <w:pPr>
              <w:pStyle w:val="Formal1"/>
              <w:spacing w:before="120" w:after="120"/>
              <w:rPr>
                <w:sz w:val="22"/>
                <w:szCs w:val="22"/>
              </w:rPr>
            </w:pPr>
            <w:r>
              <w:rPr>
                <w:sz w:val="22"/>
                <w:szCs w:val="22"/>
              </w:rPr>
              <w:t>19</w:t>
            </w:r>
            <w:r w:rsidRPr="00A42294">
              <w:rPr>
                <w:sz w:val="22"/>
                <w:szCs w:val="22"/>
                <w:vertAlign w:val="superscript"/>
              </w:rPr>
              <w:t>th</w:t>
            </w:r>
            <w:r>
              <w:rPr>
                <w:sz w:val="22"/>
                <w:szCs w:val="22"/>
              </w:rPr>
              <w:t xml:space="preserve"> -23</w:t>
            </w:r>
            <w:r w:rsidRPr="00A42294">
              <w:rPr>
                <w:sz w:val="22"/>
                <w:szCs w:val="22"/>
                <w:vertAlign w:val="superscript"/>
              </w:rPr>
              <w:t>rd</w:t>
            </w:r>
            <w:r>
              <w:rPr>
                <w:sz w:val="22"/>
                <w:szCs w:val="22"/>
              </w:rPr>
              <w:t xml:space="preserve"> December 2016 </w:t>
            </w:r>
          </w:p>
          <w:p w:rsidR="00A42294" w:rsidRDefault="00A42294" w:rsidP="00EB0AFB">
            <w:pPr>
              <w:pStyle w:val="Formal1"/>
              <w:spacing w:before="120" w:after="120"/>
              <w:rPr>
                <w:sz w:val="22"/>
                <w:szCs w:val="22"/>
              </w:rPr>
            </w:pPr>
            <w:r>
              <w:rPr>
                <w:sz w:val="22"/>
                <w:szCs w:val="22"/>
              </w:rPr>
              <w:t>This event is being organised with outside organisations and voluntary sector organisations. Update will be made next time awaiting more information regarding Community Chest.</w:t>
            </w:r>
          </w:p>
          <w:p w:rsidR="00A42294" w:rsidRPr="00A42294" w:rsidRDefault="00A42294" w:rsidP="00EB0AFB">
            <w:pPr>
              <w:pStyle w:val="Formal1"/>
              <w:spacing w:before="120" w:after="120"/>
              <w:rPr>
                <w:b/>
                <w:szCs w:val="24"/>
              </w:rPr>
            </w:pPr>
            <w:r w:rsidRPr="00A42294">
              <w:rPr>
                <w:b/>
                <w:szCs w:val="24"/>
              </w:rPr>
              <w:t>DNA’s</w:t>
            </w:r>
          </w:p>
          <w:p w:rsidR="00A42294" w:rsidRPr="00CF48D5" w:rsidRDefault="00A42294" w:rsidP="00EB0AFB">
            <w:pPr>
              <w:pStyle w:val="Formal1"/>
              <w:spacing w:before="120" w:after="120"/>
              <w:rPr>
                <w:szCs w:val="24"/>
              </w:rPr>
            </w:pPr>
            <w:r>
              <w:rPr>
                <w:szCs w:val="24"/>
              </w:rPr>
              <w:t>Both Practices continue to work and update systems to catch regular patients who DNA both practices have a lead admin person for this</w:t>
            </w:r>
          </w:p>
          <w:p w:rsidR="0024321C" w:rsidRDefault="0024321C" w:rsidP="00EB0AFB">
            <w:pPr>
              <w:pStyle w:val="Formal1"/>
              <w:spacing w:before="120" w:after="120"/>
              <w:rPr>
                <w:szCs w:val="24"/>
              </w:rPr>
            </w:pPr>
          </w:p>
          <w:p w:rsidR="00A42294" w:rsidRPr="00A42294" w:rsidRDefault="00A42294" w:rsidP="00EB0AFB">
            <w:pPr>
              <w:pStyle w:val="Formal1"/>
              <w:spacing w:before="120" w:after="120"/>
              <w:rPr>
                <w:b/>
                <w:szCs w:val="24"/>
              </w:rPr>
            </w:pPr>
            <w:r w:rsidRPr="00A42294">
              <w:rPr>
                <w:b/>
                <w:szCs w:val="24"/>
              </w:rPr>
              <w:t>Accessible Information Standard</w:t>
            </w:r>
          </w:p>
          <w:p w:rsidR="00A42294" w:rsidRDefault="00A42294" w:rsidP="00EB0AFB">
            <w:pPr>
              <w:pStyle w:val="Formal1"/>
              <w:spacing w:before="120" w:after="120"/>
              <w:rPr>
                <w:szCs w:val="24"/>
              </w:rPr>
            </w:pPr>
            <w:r>
              <w:rPr>
                <w:szCs w:val="24"/>
              </w:rPr>
              <w:t>Both practices are working towards the accessible information standard. Contacting patients who need information in a different format and looking at carers and cared for patients and their needs, disabled patients and LD patients.</w:t>
            </w:r>
          </w:p>
          <w:p w:rsidR="00A42294" w:rsidRDefault="00A42294" w:rsidP="00EB0AFB">
            <w:pPr>
              <w:pStyle w:val="Formal1"/>
              <w:spacing w:before="120" w:after="120"/>
              <w:rPr>
                <w:szCs w:val="24"/>
              </w:rPr>
            </w:pPr>
            <w:r>
              <w:rPr>
                <w:szCs w:val="24"/>
              </w:rPr>
              <w:t xml:space="preserve">Reports have been run on systemone and patients are being contacted </w:t>
            </w:r>
          </w:p>
          <w:p w:rsidR="00A42294" w:rsidRDefault="00A42294" w:rsidP="00EB0AFB">
            <w:pPr>
              <w:pStyle w:val="Formal1"/>
              <w:spacing w:before="120" w:after="120"/>
              <w:rPr>
                <w:szCs w:val="24"/>
              </w:rPr>
            </w:pPr>
          </w:p>
          <w:p w:rsidR="00A42294" w:rsidRPr="00A42294" w:rsidRDefault="00A42294" w:rsidP="00EB0AFB">
            <w:pPr>
              <w:pStyle w:val="Formal1"/>
              <w:spacing w:before="120" w:after="120"/>
              <w:rPr>
                <w:b/>
                <w:szCs w:val="24"/>
              </w:rPr>
            </w:pPr>
            <w:r w:rsidRPr="00A42294">
              <w:rPr>
                <w:b/>
                <w:szCs w:val="24"/>
              </w:rPr>
              <w:t>Avoiding Unplanned Admissions</w:t>
            </w:r>
          </w:p>
          <w:p w:rsidR="00A42294" w:rsidRDefault="00A42294" w:rsidP="00EB0AFB">
            <w:pPr>
              <w:pStyle w:val="Formal1"/>
              <w:spacing w:before="120" w:after="120"/>
              <w:rPr>
                <w:szCs w:val="24"/>
              </w:rPr>
            </w:pPr>
            <w:r>
              <w:rPr>
                <w:szCs w:val="24"/>
              </w:rPr>
              <w:t xml:space="preserve">Both practices continue to work on Unplanned Emergency Admissions, the use of this service and the help we can give. Educating patients on how the service should be used and not abused. Posters have been displayed around the health centre </w:t>
            </w:r>
            <w:r w:rsidRPr="00A42294">
              <w:rPr>
                <w:b/>
                <w:szCs w:val="24"/>
              </w:rPr>
              <w:t>DON’T WASTE YOUR NHS</w:t>
            </w:r>
            <w:r>
              <w:rPr>
                <w:szCs w:val="24"/>
              </w:rPr>
              <w:t xml:space="preserve"> </w:t>
            </w:r>
          </w:p>
          <w:p w:rsidR="00DB66C6" w:rsidRPr="00DB66C6" w:rsidRDefault="00DB66C6" w:rsidP="00EB0AFB">
            <w:pPr>
              <w:pStyle w:val="Formal1"/>
              <w:spacing w:before="120" w:after="120"/>
              <w:rPr>
                <w:b/>
                <w:szCs w:val="24"/>
              </w:rPr>
            </w:pPr>
            <w:r w:rsidRPr="00DB66C6">
              <w:rPr>
                <w:b/>
                <w:szCs w:val="24"/>
              </w:rPr>
              <w:t>Online Services</w:t>
            </w:r>
          </w:p>
          <w:p w:rsidR="00DB66C6" w:rsidRDefault="00DB66C6" w:rsidP="00EB0AFB">
            <w:pPr>
              <w:pStyle w:val="Formal1"/>
              <w:spacing w:before="120" w:after="120"/>
              <w:rPr>
                <w:szCs w:val="24"/>
              </w:rPr>
            </w:pPr>
            <w:r>
              <w:rPr>
                <w:szCs w:val="24"/>
              </w:rPr>
              <w:t>Both practices are promoting online services encouraging patients to sign up so they can order prescriptions online, make and cancel appointments, see results and coded notes.</w:t>
            </w:r>
          </w:p>
          <w:p w:rsidR="00A42294" w:rsidRPr="0024321C" w:rsidRDefault="00A42294" w:rsidP="00EB0AFB">
            <w:pPr>
              <w:pStyle w:val="Formal1"/>
              <w:spacing w:before="120" w:after="120"/>
              <w:rPr>
                <w:szCs w:val="24"/>
              </w:rPr>
            </w:pPr>
          </w:p>
          <w:p w:rsidR="0024321C" w:rsidRPr="0024321C" w:rsidRDefault="0024321C" w:rsidP="00EB0AFB">
            <w:pPr>
              <w:pStyle w:val="Formal1"/>
              <w:spacing w:before="120" w:after="120"/>
              <w:rPr>
                <w:b/>
                <w:szCs w:val="24"/>
              </w:rPr>
            </w:pPr>
          </w:p>
          <w:p w:rsidR="0024321C" w:rsidRPr="0024321C" w:rsidRDefault="0024321C" w:rsidP="00EB0AFB">
            <w:pPr>
              <w:pStyle w:val="Formal1"/>
              <w:spacing w:before="120" w:after="120"/>
              <w:rPr>
                <w:szCs w:val="24"/>
              </w:rPr>
            </w:pPr>
          </w:p>
          <w:p w:rsidR="00EB0AFB" w:rsidRPr="0024321C" w:rsidRDefault="00EB0AFB" w:rsidP="00EB0AFB">
            <w:pPr>
              <w:pStyle w:val="Formal1"/>
              <w:spacing w:before="120" w:after="120"/>
              <w:rPr>
                <w:szCs w:val="24"/>
              </w:rPr>
            </w:pPr>
          </w:p>
        </w:tc>
      </w:tr>
      <w:tr w:rsidR="0069679C">
        <w:tc>
          <w:tcPr>
            <w:tcW w:w="10440" w:type="dxa"/>
            <w:gridSpan w:val="4"/>
            <w:tcBorders>
              <w:left w:val="single" w:sz="6" w:space="0" w:color="auto"/>
              <w:right w:val="single" w:sz="6" w:space="0" w:color="auto"/>
            </w:tcBorders>
          </w:tcPr>
          <w:p w:rsidR="0069679C" w:rsidRPr="0024321C" w:rsidRDefault="0069679C">
            <w:pPr>
              <w:pStyle w:val="Formal1"/>
              <w:rPr>
                <w:szCs w:val="24"/>
              </w:rPr>
            </w:pPr>
          </w:p>
        </w:tc>
      </w:tr>
      <w:tr w:rsidR="0069679C">
        <w:tc>
          <w:tcPr>
            <w:tcW w:w="5220" w:type="dxa"/>
            <w:gridSpan w:val="2"/>
            <w:tcBorders>
              <w:left w:val="single" w:sz="6" w:space="0" w:color="auto"/>
            </w:tcBorders>
          </w:tcPr>
          <w:p w:rsidR="0069679C" w:rsidRPr="0024321C" w:rsidRDefault="0069679C">
            <w:pPr>
              <w:pStyle w:val="Formal1"/>
              <w:rPr>
                <w:szCs w:val="24"/>
              </w:rPr>
            </w:pPr>
          </w:p>
        </w:tc>
        <w:tc>
          <w:tcPr>
            <w:tcW w:w="2610" w:type="dxa"/>
          </w:tcPr>
          <w:p w:rsidR="0069679C" w:rsidRPr="0024321C" w:rsidRDefault="0069679C">
            <w:pPr>
              <w:pStyle w:val="Formal1"/>
              <w:rPr>
                <w:szCs w:val="24"/>
              </w:rPr>
            </w:pPr>
          </w:p>
        </w:tc>
        <w:tc>
          <w:tcPr>
            <w:tcW w:w="2610" w:type="dxa"/>
            <w:tcBorders>
              <w:right w:val="single" w:sz="6" w:space="0" w:color="auto"/>
            </w:tcBorders>
          </w:tcPr>
          <w:p w:rsidR="0069679C" w:rsidRPr="0024321C" w:rsidRDefault="0069679C">
            <w:pPr>
              <w:pStyle w:val="Formal1"/>
              <w:rPr>
                <w:szCs w:val="24"/>
              </w:rPr>
            </w:pPr>
          </w:p>
        </w:tc>
      </w:tr>
      <w:tr w:rsidR="0069679C">
        <w:tc>
          <w:tcPr>
            <w:tcW w:w="5220" w:type="dxa"/>
            <w:gridSpan w:val="2"/>
            <w:tcBorders>
              <w:left w:val="single" w:sz="6" w:space="0" w:color="auto"/>
            </w:tcBorders>
          </w:tcPr>
          <w:p w:rsidR="0069679C" w:rsidRPr="0024321C" w:rsidRDefault="0069679C">
            <w:pPr>
              <w:pStyle w:val="Formal1"/>
              <w:rPr>
                <w:szCs w:val="24"/>
              </w:rPr>
            </w:pPr>
          </w:p>
        </w:tc>
        <w:tc>
          <w:tcPr>
            <w:tcW w:w="2610" w:type="dxa"/>
          </w:tcPr>
          <w:p w:rsidR="0069679C" w:rsidRPr="0024321C" w:rsidRDefault="0069679C">
            <w:pPr>
              <w:pStyle w:val="Formal1"/>
              <w:rPr>
                <w:szCs w:val="24"/>
              </w:rPr>
            </w:pPr>
          </w:p>
        </w:tc>
        <w:tc>
          <w:tcPr>
            <w:tcW w:w="2610" w:type="dxa"/>
            <w:tcBorders>
              <w:right w:val="single" w:sz="6" w:space="0" w:color="auto"/>
            </w:tcBorders>
          </w:tcPr>
          <w:p w:rsidR="0069679C" w:rsidRPr="0024321C" w:rsidRDefault="0069679C">
            <w:pPr>
              <w:pStyle w:val="Formal1"/>
              <w:rPr>
                <w:szCs w:val="24"/>
              </w:rPr>
            </w:pPr>
          </w:p>
        </w:tc>
      </w:tr>
      <w:tr w:rsidR="0069679C">
        <w:tc>
          <w:tcPr>
            <w:tcW w:w="5220" w:type="dxa"/>
            <w:gridSpan w:val="2"/>
            <w:tcBorders>
              <w:left w:val="single" w:sz="6" w:space="0" w:color="auto"/>
            </w:tcBorders>
          </w:tcPr>
          <w:p w:rsidR="0069679C" w:rsidRDefault="0069679C">
            <w:pPr>
              <w:pStyle w:val="Formal1"/>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286E7C">
        <w:tc>
          <w:tcPr>
            <w:tcW w:w="5220" w:type="dxa"/>
            <w:gridSpan w:val="2"/>
            <w:tcBorders>
              <w:left w:val="single" w:sz="6" w:space="0" w:color="auto"/>
            </w:tcBorders>
          </w:tcPr>
          <w:p w:rsidR="00286E7C" w:rsidRDefault="00286E7C" w:rsidP="00286E7C">
            <w:pPr>
              <w:pStyle w:val="Formal1"/>
            </w:pPr>
          </w:p>
        </w:tc>
        <w:tc>
          <w:tcPr>
            <w:tcW w:w="2610" w:type="dxa"/>
          </w:tcPr>
          <w:p w:rsidR="00286E7C" w:rsidRDefault="00286E7C" w:rsidP="00286E7C">
            <w:pPr>
              <w:pStyle w:val="Formal1"/>
            </w:pPr>
          </w:p>
        </w:tc>
        <w:tc>
          <w:tcPr>
            <w:tcW w:w="2610" w:type="dxa"/>
            <w:tcBorders>
              <w:right w:val="single" w:sz="6" w:space="0" w:color="auto"/>
            </w:tcBorders>
          </w:tcPr>
          <w:p w:rsidR="00286E7C" w:rsidRDefault="00286E7C" w:rsidP="00286E7C">
            <w:pPr>
              <w:pStyle w:val="Formal1"/>
            </w:pPr>
          </w:p>
        </w:tc>
      </w:tr>
      <w:tr w:rsidR="00286E7C">
        <w:tc>
          <w:tcPr>
            <w:tcW w:w="5220" w:type="dxa"/>
            <w:gridSpan w:val="2"/>
            <w:tcBorders>
              <w:left w:val="single" w:sz="6" w:space="0" w:color="auto"/>
            </w:tcBorders>
          </w:tcPr>
          <w:p w:rsidR="00286E7C" w:rsidRDefault="00286E7C" w:rsidP="00286E7C">
            <w:pPr>
              <w:pStyle w:val="Formal1"/>
            </w:pPr>
          </w:p>
        </w:tc>
        <w:tc>
          <w:tcPr>
            <w:tcW w:w="2610" w:type="dxa"/>
          </w:tcPr>
          <w:p w:rsidR="00286E7C" w:rsidRDefault="00286E7C" w:rsidP="00286E7C">
            <w:pPr>
              <w:pStyle w:val="Formal1"/>
            </w:pPr>
          </w:p>
        </w:tc>
        <w:tc>
          <w:tcPr>
            <w:tcW w:w="2610" w:type="dxa"/>
            <w:tcBorders>
              <w:right w:val="single" w:sz="6" w:space="0" w:color="auto"/>
            </w:tcBorders>
          </w:tcPr>
          <w:p w:rsidR="00286E7C" w:rsidRDefault="00286E7C" w:rsidP="00286E7C">
            <w:pPr>
              <w:pStyle w:val="Formal1"/>
            </w:pPr>
          </w:p>
        </w:tc>
      </w:tr>
      <w:tr w:rsidR="00286E7C">
        <w:tc>
          <w:tcPr>
            <w:tcW w:w="5220" w:type="dxa"/>
            <w:gridSpan w:val="2"/>
            <w:tcBorders>
              <w:left w:val="single" w:sz="6" w:space="0" w:color="auto"/>
            </w:tcBorders>
          </w:tcPr>
          <w:p w:rsidR="00286E7C" w:rsidRDefault="00286E7C" w:rsidP="00286E7C">
            <w:pPr>
              <w:pStyle w:val="Formal1"/>
            </w:pPr>
          </w:p>
        </w:tc>
        <w:tc>
          <w:tcPr>
            <w:tcW w:w="2610" w:type="dxa"/>
          </w:tcPr>
          <w:p w:rsidR="00286E7C" w:rsidRDefault="00286E7C" w:rsidP="00286E7C">
            <w:pPr>
              <w:pStyle w:val="Formal1"/>
            </w:pPr>
          </w:p>
        </w:tc>
        <w:tc>
          <w:tcPr>
            <w:tcW w:w="2610" w:type="dxa"/>
            <w:tcBorders>
              <w:right w:val="single" w:sz="6" w:space="0" w:color="auto"/>
            </w:tcBorders>
          </w:tcPr>
          <w:p w:rsidR="00286E7C" w:rsidRDefault="00286E7C" w:rsidP="00286E7C">
            <w:pPr>
              <w:pStyle w:val="Formal1"/>
            </w:pPr>
          </w:p>
        </w:tc>
      </w:tr>
      <w:tr w:rsidR="00286E7C">
        <w:tc>
          <w:tcPr>
            <w:tcW w:w="5220" w:type="dxa"/>
            <w:gridSpan w:val="2"/>
            <w:tcBorders>
              <w:left w:val="single" w:sz="6" w:space="0" w:color="auto"/>
            </w:tcBorders>
          </w:tcPr>
          <w:p w:rsidR="00286E7C" w:rsidRDefault="00286E7C">
            <w:pPr>
              <w:pStyle w:val="Formal1"/>
            </w:pPr>
          </w:p>
        </w:tc>
        <w:tc>
          <w:tcPr>
            <w:tcW w:w="2610" w:type="dxa"/>
          </w:tcPr>
          <w:p w:rsidR="00286E7C" w:rsidRDefault="00286E7C">
            <w:pPr>
              <w:pStyle w:val="Formal1"/>
            </w:pPr>
          </w:p>
        </w:tc>
        <w:tc>
          <w:tcPr>
            <w:tcW w:w="2610" w:type="dxa"/>
            <w:tcBorders>
              <w:right w:val="single" w:sz="6" w:space="0" w:color="auto"/>
            </w:tcBorders>
          </w:tcPr>
          <w:p w:rsidR="00286E7C" w:rsidRDefault="00286E7C">
            <w:pPr>
              <w:pStyle w:val="Formal1"/>
            </w:pPr>
          </w:p>
        </w:tc>
      </w:tr>
      <w:tr w:rsidR="00286E7C">
        <w:tc>
          <w:tcPr>
            <w:tcW w:w="10440" w:type="dxa"/>
            <w:gridSpan w:val="4"/>
            <w:tcBorders>
              <w:left w:val="single" w:sz="6" w:space="0" w:color="auto"/>
              <w:right w:val="single" w:sz="6" w:space="0" w:color="auto"/>
            </w:tcBorders>
          </w:tcPr>
          <w:p w:rsidR="00286E7C" w:rsidRDefault="00286E7C">
            <w:pPr>
              <w:pStyle w:val="Formal1"/>
            </w:pPr>
          </w:p>
        </w:tc>
      </w:tr>
    </w:tbl>
    <w:p w:rsidR="0069679C" w:rsidRDefault="0069679C">
      <w:bookmarkStart w:id="4" w:name="AdditionalInformation"/>
      <w:bookmarkEnd w:id="4"/>
    </w:p>
    <w:tbl>
      <w:tblPr>
        <w:tblW w:w="0" w:type="auto"/>
        <w:tblLayout w:type="fixed"/>
        <w:tblLook w:val="0000" w:firstRow="0" w:lastRow="0" w:firstColumn="0" w:lastColumn="0" w:noHBand="0" w:noVBand="0"/>
      </w:tblPr>
      <w:tblGrid>
        <w:gridCol w:w="2610"/>
      </w:tblGrid>
      <w:tr w:rsidR="00E52791">
        <w:tc>
          <w:tcPr>
            <w:tcW w:w="2610" w:type="dxa"/>
          </w:tcPr>
          <w:p w:rsidR="00E52791" w:rsidRDefault="00E52791">
            <w:pPr>
              <w:pStyle w:val="Formal1"/>
            </w:pPr>
            <w:bookmarkStart w:id="5" w:name="MinuteHeading"/>
            <w:bookmarkEnd w:id="5"/>
          </w:p>
        </w:tc>
      </w:tr>
    </w:tbl>
    <w:p w:rsidR="0069679C" w:rsidRDefault="0069679C">
      <w:pPr>
        <w:pStyle w:val="Formal1"/>
        <w:jc w:val="center"/>
        <w:rPr>
          <w:b/>
          <w:sz w:val="32"/>
        </w:rPr>
        <w:sectPr w:rsidR="0069679C">
          <w:pgSz w:w="12240" w:h="15840" w:code="1"/>
          <w:pgMar w:top="1440" w:right="1008" w:bottom="1440" w:left="1008" w:header="720" w:footer="720" w:gutter="0"/>
          <w:cols w:space="720"/>
        </w:sectPr>
      </w:pPr>
      <w:bookmarkStart w:id="6" w:name="MinuteItems"/>
      <w:bookmarkStart w:id="7" w:name="MinutePersonResponsible"/>
      <w:bookmarkStart w:id="8" w:name="MinuteDeadline"/>
      <w:bookmarkStart w:id="9" w:name="MinuteAdditional"/>
      <w:bookmarkEnd w:id="6"/>
      <w:bookmarkEnd w:id="7"/>
      <w:bookmarkEnd w:id="8"/>
      <w:bookmarkEnd w:id="9"/>
    </w:p>
    <w:p w:rsidR="0069679C" w:rsidRDefault="0069679C"/>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69679C"/>
    <w:rsid w:val="00015235"/>
    <w:rsid w:val="000419C6"/>
    <w:rsid w:val="0004433F"/>
    <w:rsid w:val="00123C69"/>
    <w:rsid w:val="00164F48"/>
    <w:rsid w:val="00207C96"/>
    <w:rsid w:val="0024321C"/>
    <w:rsid w:val="00286E7C"/>
    <w:rsid w:val="00310D80"/>
    <w:rsid w:val="00384814"/>
    <w:rsid w:val="00455E9D"/>
    <w:rsid w:val="005D7E4E"/>
    <w:rsid w:val="0069679C"/>
    <w:rsid w:val="007D11C6"/>
    <w:rsid w:val="008019FE"/>
    <w:rsid w:val="00831F83"/>
    <w:rsid w:val="0094288B"/>
    <w:rsid w:val="00A42294"/>
    <w:rsid w:val="00A43E02"/>
    <w:rsid w:val="00B3057A"/>
    <w:rsid w:val="00CF48D5"/>
    <w:rsid w:val="00DB66C6"/>
    <w:rsid w:val="00E52791"/>
    <w:rsid w:val="00E9085B"/>
    <w:rsid w:val="00E9192B"/>
    <w:rsid w:val="00EB0AFB"/>
    <w:rsid w:val="00F07175"/>
    <w:rsid w:val="00F8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831F83"/>
    <w:rPr>
      <w:rFonts w:ascii="Tahoma" w:hAnsi="Tahoma" w:cs="Tahoma"/>
      <w:sz w:val="16"/>
      <w:szCs w:val="16"/>
    </w:rPr>
  </w:style>
  <w:style w:type="character" w:customStyle="1" w:styleId="BalloonTextChar">
    <w:name w:val="Balloon Text Char"/>
    <w:basedOn w:val="DefaultParagraphFont"/>
    <w:link w:val="BalloonText"/>
    <w:uiPriority w:val="99"/>
    <w:semiHidden/>
    <w:rsid w:val="00831F8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831F83"/>
    <w:rPr>
      <w:rFonts w:ascii="Tahoma" w:hAnsi="Tahoma" w:cs="Tahoma"/>
      <w:sz w:val="16"/>
      <w:szCs w:val="16"/>
    </w:rPr>
  </w:style>
  <w:style w:type="character" w:customStyle="1" w:styleId="BalloonTextChar">
    <w:name w:val="Balloon Text Char"/>
    <w:basedOn w:val="DefaultParagraphFont"/>
    <w:link w:val="BalloonText"/>
    <w:uiPriority w:val="99"/>
    <w:semiHidden/>
    <w:rsid w:val="00831F8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6E9DD-6E13-4292-8455-A65788FF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4</Pages>
  <Words>867</Words>
  <Characters>4942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RoseA</cp:lastModifiedBy>
  <cp:revision>2</cp:revision>
  <cp:lastPrinted>2016-11-03T13:39:00Z</cp:lastPrinted>
  <dcterms:created xsi:type="dcterms:W3CDTF">2017-03-13T12:28:00Z</dcterms:created>
  <dcterms:modified xsi:type="dcterms:W3CDTF">2017-03-13T12:28:00Z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